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05" w:rsidRPr="00387A05" w:rsidRDefault="00387A05" w:rsidP="0038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05">
        <w:rPr>
          <w:rFonts w:ascii="Times New Roman" w:hAnsi="Times New Roman" w:cs="Times New Roman"/>
          <w:b/>
          <w:sz w:val="28"/>
          <w:szCs w:val="28"/>
        </w:rPr>
        <w:t xml:space="preserve">Справка о рассмотрении поступивших обращений граждан </w:t>
      </w:r>
    </w:p>
    <w:p w:rsidR="00387A05" w:rsidRDefault="00387A05" w:rsidP="0038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05">
        <w:rPr>
          <w:rFonts w:ascii="Times New Roman" w:hAnsi="Times New Roman" w:cs="Times New Roman"/>
          <w:b/>
          <w:sz w:val="28"/>
          <w:szCs w:val="28"/>
        </w:rPr>
        <w:t>в админист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2018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87A05" w:rsidRPr="00387A05" w:rsidRDefault="00387A05" w:rsidP="0038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05" w:rsidRPr="00387A05" w:rsidRDefault="00387A05" w:rsidP="00717C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районе построена на основании требований Федерального закона № 59-ФЗ «О порядке рассмотрения обращений граждан Российской Федерации» и  Федерального закона  № 131-ФЗ «Об общих принципах организации местного самоуправления в Российской Федерации».  В работе с обращениями граждан в администрации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 служащие руководствуются Порядком организации работы с обращениями граждан утвержденным постановление</w:t>
      </w:r>
      <w:r w:rsidR="00717CCD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proofErr w:type="spellStart"/>
      <w:r w:rsidR="00717CCD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717CCD">
        <w:rPr>
          <w:rFonts w:ascii="Times New Roman" w:hAnsi="Times New Roman" w:cs="Times New Roman"/>
          <w:sz w:val="28"/>
          <w:szCs w:val="28"/>
        </w:rPr>
        <w:t xml:space="preserve"> рай</w:t>
      </w:r>
      <w:r w:rsidRPr="00387A05">
        <w:rPr>
          <w:rFonts w:ascii="Times New Roman" w:hAnsi="Times New Roman" w:cs="Times New Roman"/>
          <w:sz w:val="28"/>
          <w:szCs w:val="28"/>
        </w:rPr>
        <w:t>она от 2 июля 2018 г.   № 370</w:t>
      </w:r>
      <w:r w:rsidR="00717CCD">
        <w:rPr>
          <w:rFonts w:ascii="Times New Roman" w:hAnsi="Times New Roman" w:cs="Times New Roman"/>
          <w:sz w:val="28"/>
          <w:szCs w:val="28"/>
        </w:rPr>
        <w:t>.</w:t>
      </w:r>
    </w:p>
    <w:p w:rsidR="00387A05" w:rsidRPr="00387A05" w:rsidRDefault="00387A05" w:rsidP="00717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Особое внимание в администрации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 уделяется вопросу организации и рассмотрения письменных и устных обращений граждан. Функции контроля за своевременным и качественным рассмотрением обращений граждан структурными органами администрации возложены на </w:t>
      </w:r>
      <w:r w:rsidR="00717CCD">
        <w:rPr>
          <w:rFonts w:ascii="Times New Roman" w:hAnsi="Times New Roman" w:cs="Times New Roman"/>
          <w:sz w:val="28"/>
          <w:szCs w:val="28"/>
        </w:rPr>
        <w:t xml:space="preserve">организационно-контрольный </w:t>
      </w:r>
      <w:r w:rsidRPr="00387A05">
        <w:rPr>
          <w:rFonts w:ascii="Times New Roman" w:hAnsi="Times New Roman" w:cs="Times New Roman"/>
          <w:sz w:val="28"/>
          <w:szCs w:val="28"/>
        </w:rPr>
        <w:t>о</w:t>
      </w:r>
      <w:r w:rsidR="00717CCD">
        <w:rPr>
          <w:rFonts w:ascii="Times New Roman" w:hAnsi="Times New Roman" w:cs="Times New Roman"/>
          <w:sz w:val="28"/>
          <w:szCs w:val="28"/>
        </w:rPr>
        <w:t>тдел управления делами</w:t>
      </w:r>
      <w:r w:rsidRPr="00387A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>Количество обращений, жа</w:t>
      </w:r>
      <w:r w:rsidR="00671013">
        <w:rPr>
          <w:rFonts w:ascii="Times New Roman" w:hAnsi="Times New Roman" w:cs="Times New Roman"/>
          <w:sz w:val="28"/>
          <w:szCs w:val="28"/>
        </w:rPr>
        <w:t>лоб граждан поступивших за  2018</w:t>
      </w:r>
      <w:r w:rsidRPr="00387A05"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  составило </w:t>
      </w:r>
      <w:r w:rsidR="00FA13D2">
        <w:rPr>
          <w:rFonts w:ascii="Times New Roman" w:hAnsi="Times New Roman" w:cs="Times New Roman"/>
          <w:b/>
          <w:sz w:val="28"/>
          <w:szCs w:val="28"/>
        </w:rPr>
        <w:t>1102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1013">
        <w:rPr>
          <w:rFonts w:ascii="Times New Roman" w:hAnsi="Times New Roman" w:cs="Times New Roman"/>
          <w:i/>
          <w:sz w:val="28"/>
          <w:szCs w:val="28"/>
        </w:rPr>
        <w:t>в 2017 году за данный период – 815</w:t>
      </w:r>
      <w:r w:rsidR="00FA13D2">
        <w:rPr>
          <w:rFonts w:ascii="Times New Roman" w:hAnsi="Times New Roman" w:cs="Times New Roman"/>
          <w:i/>
          <w:sz w:val="28"/>
          <w:szCs w:val="28"/>
        </w:rPr>
        <w:t>, что на 287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 обращений больше</w:t>
      </w:r>
      <w:r w:rsidRPr="00387A05"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7A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7A05">
        <w:rPr>
          <w:rFonts w:ascii="Times New Roman" w:hAnsi="Times New Roman" w:cs="Times New Roman"/>
          <w:b/>
          <w:sz w:val="28"/>
          <w:szCs w:val="28"/>
        </w:rPr>
        <w:t>2</w:t>
      </w:r>
      <w:r w:rsidR="00A041B0">
        <w:rPr>
          <w:rFonts w:ascii="Times New Roman" w:hAnsi="Times New Roman" w:cs="Times New Roman"/>
          <w:b/>
          <w:sz w:val="28"/>
          <w:szCs w:val="28"/>
        </w:rPr>
        <w:t>20</w:t>
      </w:r>
      <w:r w:rsidRPr="00387A05">
        <w:rPr>
          <w:rFonts w:ascii="Times New Roman" w:hAnsi="Times New Roman" w:cs="Times New Roman"/>
          <w:sz w:val="28"/>
          <w:szCs w:val="28"/>
        </w:rPr>
        <w:t xml:space="preserve">  письменных обращений и жалоб граждан </w:t>
      </w:r>
      <w:r w:rsidRPr="00387A05">
        <w:rPr>
          <w:rFonts w:ascii="Times New Roman" w:hAnsi="Times New Roman" w:cs="Times New Roman"/>
          <w:b/>
          <w:sz w:val="28"/>
          <w:szCs w:val="28"/>
        </w:rPr>
        <w:t>(</w:t>
      </w:r>
      <w:r w:rsidR="00FA13D2">
        <w:rPr>
          <w:rFonts w:ascii="Times New Roman" w:hAnsi="Times New Roman" w:cs="Times New Roman"/>
          <w:i/>
          <w:sz w:val="28"/>
          <w:szCs w:val="28"/>
        </w:rPr>
        <w:t>в 2017 г. – 23</w:t>
      </w:r>
      <w:r w:rsidRPr="00387A05">
        <w:rPr>
          <w:rFonts w:ascii="Times New Roman" w:hAnsi="Times New Roman" w:cs="Times New Roman"/>
          <w:i/>
          <w:sz w:val="28"/>
          <w:szCs w:val="28"/>
        </w:rPr>
        <w:t>7)</w:t>
      </w:r>
      <w:r w:rsidRPr="00387A05">
        <w:rPr>
          <w:rFonts w:ascii="Times New Roman" w:hAnsi="Times New Roman" w:cs="Times New Roman"/>
          <w:sz w:val="28"/>
          <w:szCs w:val="28"/>
        </w:rPr>
        <w:t>;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A05">
        <w:rPr>
          <w:rFonts w:ascii="Times New Roman" w:hAnsi="Times New Roman" w:cs="Times New Roman"/>
          <w:b/>
          <w:sz w:val="28"/>
          <w:szCs w:val="28"/>
        </w:rPr>
        <w:t>-</w:t>
      </w:r>
      <w:r w:rsidRPr="00387A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41B0">
        <w:rPr>
          <w:rFonts w:ascii="Times New Roman" w:hAnsi="Times New Roman" w:cs="Times New Roman"/>
          <w:b/>
          <w:sz w:val="28"/>
          <w:szCs w:val="28"/>
        </w:rPr>
        <w:t>304</w:t>
      </w:r>
      <w:r w:rsidRPr="00387A05">
        <w:rPr>
          <w:rFonts w:ascii="Times New Roman" w:hAnsi="Times New Roman" w:cs="Times New Roman"/>
          <w:sz w:val="28"/>
          <w:szCs w:val="28"/>
        </w:rPr>
        <w:t xml:space="preserve">  принято на личном приёме мэром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 и его заместителями в администрации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87A05">
        <w:rPr>
          <w:rFonts w:ascii="Times New Roman" w:hAnsi="Times New Roman" w:cs="Times New Roman"/>
          <w:b/>
          <w:sz w:val="28"/>
          <w:szCs w:val="28"/>
        </w:rPr>
        <w:t>(</w:t>
      </w:r>
      <w:r w:rsidR="00FA13D2">
        <w:rPr>
          <w:rFonts w:ascii="Times New Roman" w:hAnsi="Times New Roman" w:cs="Times New Roman"/>
          <w:i/>
          <w:sz w:val="28"/>
          <w:szCs w:val="28"/>
        </w:rPr>
        <w:t>в 2017 г. – 15</w:t>
      </w:r>
      <w:r w:rsidRPr="00387A05">
        <w:rPr>
          <w:rFonts w:ascii="Times New Roman" w:hAnsi="Times New Roman" w:cs="Times New Roman"/>
          <w:i/>
          <w:sz w:val="28"/>
          <w:szCs w:val="28"/>
        </w:rPr>
        <w:t>3);</w:t>
      </w:r>
    </w:p>
    <w:p w:rsid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41B0">
        <w:rPr>
          <w:rFonts w:ascii="Times New Roman" w:hAnsi="Times New Roman" w:cs="Times New Roman"/>
          <w:b/>
          <w:sz w:val="28"/>
          <w:szCs w:val="28"/>
        </w:rPr>
        <w:t>578</w:t>
      </w:r>
      <w:r w:rsidRPr="00387A05">
        <w:rPr>
          <w:rFonts w:ascii="Times New Roman" w:hAnsi="Times New Roman" w:cs="Times New Roman"/>
          <w:sz w:val="28"/>
          <w:szCs w:val="28"/>
        </w:rPr>
        <w:t xml:space="preserve"> человек принято на выездных приемах в муниципальных образованиях на территории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87A05">
        <w:rPr>
          <w:rFonts w:ascii="Times New Roman" w:hAnsi="Times New Roman" w:cs="Times New Roman"/>
          <w:b/>
          <w:sz w:val="28"/>
          <w:szCs w:val="28"/>
        </w:rPr>
        <w:t>(</w:t>
      </w:r>
      <w:r w:rsidR="00FA13D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02B89">
        <w:rPr>
          <w:rFonts w:ascii="Times New Roman" w:hAnsi="Times New Roman" w:cs="Times New Roman"/>
          <w:i/>
          <w:sz w:val="28"/>
          <w:szCs w:val="28"/>
        </w:rPr>
        <w:t>2017 году за данный период – 307</w:t>
      </w:r>
      <w:r w:rsidRPr="00387A05">
        <w:rPr>
          <w:rFonts w:ascii="Times New Roman" w:hAnsi="Times New Roman" w:cs="Times New Roman"/>
          <w:i/>
          <w:sz w:val="28"/>
          <w:szCs w:val="28"/>
        </w:rPr>
        <w:t>)</w:t>
      </w:r>
      <w:r w:rsidRPr="0038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DC7" w:rsidRDefault="00BC4DC7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DC7" w:rsidRPr="00387A05" w:rsidRDefault="007A23E6" w:rsidP="00F3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3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3409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для рассмотрения на местном уровне письменных жалоб и обращений из органов государственной власти – всего: </w:t>
      </w:r>
      <w:r w:rsidR="00A85507" w:rsidRPr="00A85507">
        <w:rPr>
          <w:rFonts w:ascii="Times New Roman" w:hAnsi="Times New Roman" w:cs="Times New Roman"/>
          <w:b/>
          <w:sz w:val="28"/>
          <w:szCs w:val="28"/>
        </w:rPr>
        <w:t>82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05">
        <w:rPr>
          <w:rFonts w:ascii="Times New Roman" w:hAnsi="Times New Roman" w:cs="Times New Roman"/>
          <w:sz w:val="28"/>
          <w:szCs w:val="28"/>
        </w:rPr>
        <w:t>(</w:t>
      </w:r>
      <w:r w:rsidR="00A041B0">
        <w:rPr>
          <w:rFonts w:ascii="Times New Roman" w:hAnsi="Times New Roman" w:cs="Times New Roman"/>
          <w:i/>
          <w:sz w:val="28"/>
          <w:szCs w:val="28"/>
        </w:rPr>
        <w:t>в 2017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 году за данный период</w:t>
      </w:r>
      <w:r w:rsidRPr="00387A05">
        <w:rPr>
          <w:rFonts w:ascii="Times New Roman" w:hAnsi="Times New Roman" w:cs="Times New Roman"/>
          <w:sz w:val="28"/>
          <w:szCs w:val="28"/>
        </w:rPr>
        <w:t xml:space="preserve"> </w:t>
      </w:r>
      <w:r w:rsidRPr="00387A05">
        <w:rPr>
          <w:rFonts w:ascii="Times New Roman" w:hAnsi="Times New Roman" w:cs="Times New Roman"/>
          <w:i/>
          <w:sz w:val="28"/>
          <w:szCs w:val="28"/>
        </w:rPr>
        <w:t>9</w:t>
      </w:r>
      <w:r w:rsidR="00A041B0">
        <w:rPr>
          <w:rFonts w:ascii="Times New Roman" w:hAnsi="Times New Roman" w:cs="Times New Roman"/>
          <w:i/>
          <w:sz w:val="28"/>
          <w:szCs w:val="28"/>
        </w:rPr>
        <w:t>0</w:t>
      </w:r>
      <w:r w:rsidRPr="00387A05">
        <w:rPr>
          <w:rFonts w:ascii="Times New Roman" w:hAnsi="Times New Roman" w:cs="Times New Roman"/>
          <w:sz w:val="28"/>
          <w:szCs w:val="28"/>
        </w:rPr>
        <w:t>) обращений из них: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- из администрации Президента – </w:t>
      </w:r>
      <w:r w:rsidR="00A85507" w:rsidRPr="00A85507">
        <w:rPr>
          <w:rFonts w:ascii="Times New Roman" w:hAnsi="Times New Roman" w:cs="Times New Roman"/>
          <w:b/>
          <w:sz w:val="28"/>
          <w:szCs w:val="28"/>
        </w:rPr>
        <w:t>30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05">
        <w:rPr>
          <w:rFonts w:ascii="Times New Roman" w:hAnsi="Times New Roman" w:cs="Times New Roman"/>
          <w:sz w:val="28"/>
          <w:szCs w:val="28"/>
        </w:rPr>
        <w:t>(</w:t>
      </w:r>
      <w:r w:rsidR="00A041B0">
        <w:rPr>
          <w:rFonts w:ascii="Times New Roman" w:hAnsi="Times New Roman" w:cs="Times New Roman"/>
          <w:i/>
          <w:sz w:val="28"/>
          <w:szCs w:val="28"/>
        </w:rPr>
        <w:t>в 2017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387A05">
        <w:rPr>
          <w:rFonts w:ascii="Times New Roman" w:hAnsi="Times New Roman" w:cs="Times New Roman"/>
          <w:sz w:val="28"/>
          <w:szCs w:val="28"/>
        </w:rPr>
        <w:t xml:space="preserve"> </w:t>
      </w:r>
      <w:r w:rsidR="00A041B0">
        <w:rPr>
          <w:rFonts w:ascii="Times New Roman" w:hAnsi="Times New Roman" w:cs="Times New Roman"/>
          <w:i/>
          <w:sz w:val="28"/>
          <w:szCs w:val="28"/>
        </w:rPr>
        <w:t>29</w:t>
      </w:r>
      <w:r w:rsidRPr="00387A05">
        <w:rPr>
          <w:rFonts w:ascii="Times New Roman" w:hAnsi="Times New Roman" w:cs="Times New Roman"/>
          <w:sz w:val="28"/>
          <w:szCs w:val="28"/>
        </w:rPr>
        <w:t>);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- из  Правительства Иркутской области – </w:t>
      </w:r>
      <w:r w:rsidR="00A85507">
        <w:rPr>
          <w:rFonts w:ascii="Times New Roman" w:hAnsi="Times New Roman" w:cs="Times New Roman"/>
          <w:b/>
          <w:sz w:val="28"/>
          <w:szCs w:val="28"/>
        </w:rPr>
        <w:t>40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05">
        <w:rPr>
          <w:rFonts w:ascii="Times New Roman" w:hAnsi="Times New Roman" w:cs="Times New Roman"/>
          <w:sz w:val="28"/>
          <w:szCs w:val="28"/>
        </w:rPr>
        <w:t>(</w:t>
      </w:r>
      <w:r w:rsidR="00A041B0">
        <w:rPr>
          <w:rFonts w:ascii="Times New Roman" w:hAnsi="Times New Roman" w:cs="Times New Roman"/>
          <w:i/>
          <w:sz w:val="28"/>
          <w:szCs w:val="28"/>
        </w:rPr>
        <w:t>в 2017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387A05">
        <w:rPr>
          <w:rFonts w:ascii="Times New Roman" w:hAnsi="Times New Roman" w:cs="Times New Roman"/>
          <w:sz w:val="28"/>
          <w:szCs w:val="28"/>
        </w:rPr>
        <w:t xml:space="preserve"> </w:t>
      </w:r>
      <w:r w:rsidR="00A041B0">
        <w:rPr>
          <w:rFonts w:ascii="Times New Roman" w:hAnsi="Times New Roman" w:cs="Times New Roman"/>
          <w:i/>
          <w:sz w:val="28"/>
          <w:szCs w:val="28"/>
        </w:rPr>
        <w:t>46</w:t>
      </w:r>
      <w:r w:rsidRPr="00387A0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- из других органов власти – </w:t>
      </w:r>
      <w:r w:rsidRPr="00387A05">
        <w:rPr>
          <w:rFonts w:ascii="Times New Roman" w:hAnsi="Times New Roman" w:cs="Times New Roman"/>
          <w:b/>
          <w:sz w:val="28"/>
          <w:szCs w:val="28"/>
        </w:rPr>
        <w:t>1</w:t>
      </w:r>
      <w:r w:rsidR="00A85507">
        <w:rPr>
          <w:rFonts w:ascii="Times New Roman" w:hAnsi="Times New Roman" w:cs="Times New Roman"/>
          <w:b/>
          <w:sz w:val="28"/>
          <w:szCs w:val="28"/>
        </w:rPr>
        <w:t>2</w:t>
      </w:r>
      <w:r w:rsidRPr="00387A05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(Депутаты Государственной Думы; Законодательное Собрание Иркутской области; Уполномоченный по правам человека Иркутской области; ВПП «Единая Россия» </w:t>
      </w:r>
      <w:proofErr w:type="gramStart"/>
      <w:r w:rsidRPr="00387A0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87A05">
        <w:rPr>
          <w:rFonts w:ascii="Times New Roman" w:hAnsi="Times New Roman" w:cs="Times New Roman"/>
          <w:i/>
          <w:sz w:val="28"/>
          <w:szCs w:val="28"/>
        </w:rPr>
        <w:t>. Иркутска и др.)</w:t>
      </w:r>
    </w:p>
    <w:p w:rsidR="00387A05" w:rsidRPr="00387A05" w:rsidRDefault="00387A05" w:rsidP="00387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>Все поступившие обращения из вышестоящих органов власти поставлены на «особый контроль» и приняты решения по поставленным вопросам. Обращения снимаются с контроля только по решению рабочей группы администрации района, при снятии обращается внимание на компетентный и своевременный ответ на обращения граждан.</w:t>
      </w:r>
    </w:p>
    <w:p w:rsid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За отчётный период  нарушение сроков рассмотрения и исполнения по письменным обращениям поступивших и зарегистрированных в </w:t>
      </w:r>
      <w:r w:rsidR="00A041B0">
        <w:rPr>
          <w:rFonts w:ascii="Times New Roman" w:hAnsi="Times New Roman" w:cs="Times New Roman"/>
          <w:sz w:val="28"/>
          <w:szCs w:val="28"/>
        </w:rPr>
        <w:t xml:space="preserve">организационно-контрольном </w:t>
      </w:r>
      <w:r w:rsidRPr="00387A05">
        <w:rPr>
          <w:rFonts w:ascii="Times New Roman" w:hAnsi="Times New Roman" w:cs="Times New Roman"/>
          <w:sz w:val="28"/>
          <w:szCs w:val="28"/>
        </w:rPr>
        <w:t>о</w:t>
      </w:r>
      <w:r w:rsidR="00A041B0">
        <w:rPr>
          <w:rFonts w:ascii="Times New Roman" w:hAnsi="Times New Roman" w:cs="Times New Roman"/>
          <w:sz w:val="28"/>
          <w:szCs w:val="28"/>
        </w:rPr>
        <w:t xml:space="preserve">тделе </w:t>
      </w:r>
      <w:r w:rsidRPr="00387A05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2934DF" w:rsidRPr="00C73113" w:rsidRDefault="002934DF" w:rsidP="0029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113">
        <w:rPr>
          <w:rFonts w:ascii="Times New Roman" w:hAnsi="Times New Roman" w:cs="Times New Roman"/>
          <w:sz w:val="28"/>
          <w:szCs w:val="28"/>
        </w:rPr>
        <w:t>В целях реализации указания Президента Российской Федерации от 24 февраля 2012 года № Пр-494 об обеспечении обмена в реальном режиме времени электронными данными по работе с обращениями между Управлением по работе с обращениями граждан и организаций администрации Президента Российской Федерации, федеральными органами исполнительной власти и территориальными органами федеральных органов исполнительной власти, высшими исполнительными органами государственной власти субъектов Российской Федерации и исполнительными</w:t>
      </w:r>
      <w:proofErr w:type="gramEnd"/>
      <w:r w:rsidRPr="00C73113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субъектов Российской Федерации в исполнительных органах государственной власти Иркутской области создана иерархическая система информационного обмена в реальном режиме времени электронными данными по работе с обращениями (Система информационного обмена данными). </w:t>
      </w:r>
    </w:p>
    <w:p w:rsidR="002934DF" w:rsidRPr="00C73113" w:rsidRDefault="002934DF" w:rsidP="0029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11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C73113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C73113">
        <w:rPr>
          <w:rFonts w:ascii="Times New Roman" w:hAnsi="Times New Roman" w:cs="Times New Roman"/>
          <w:sz w:val="28"/>
          <w:szCs w:val="28"/>
        </w:rPr>
        <w:t xml:space="preserve"> района установлена система межведомственного электронного документооборота, система </w:t>
      </w:r>
      <w:proofErr w:type="spellStart"/>
      <w:r w:rsidRPr="00C73113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C73113">
        <w:rPr>
          <w:rFonts w:ascii="Times New Roman" w:hAnsi="Times New Roman" w:cs="Times New Roman"/>
          <w:sz w:val="28"/>
          <w:szCs w:val="28"/>
        </w:rPr>
        <w:t xml:space="preserve"> Клиент, а также  электронный справочник ограниченного доступа в информационно-телекоммуникационной сети "Интернет</w:t>
      </w:r>
      <w:r w:rsidR="00B729A0">
        <w:rPr>
          <w:rFonts w:ascii="Times New Roman" w:hAnsi="Times New Roman" w:cs="Times New Roman"/>
          <w:sz w:val="28"/>
          <w:szCs w:val="28"/>
        </w:rPr>
        <w:t xml:space="preserve">" </w:t>
      </w:r>
      <w:r w:rsidRPr="00C73113"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 w:rsidRPr="00C731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3113">
        <w:rPr>
          <w:rFonts w:ascii="Times New Roman" w:hAnsi="Times New Roman" w:cs="Times New Roman"/>
          <w:sz w:val="28"/>
          <w:szCs w:val="28"/>
        </w:rPr>
        <w:t>Ф в котором отображаются все поступившие обращения граждан на имя Президента Российской Федерации в реальном времени для обеспечения реализации права гражданина на обращение к Президенту Российской Федерации.</w:t>
      </w:r>
    </w:p>
    <w:p w:rsidR="002934DF" w:rsidRPr="002172A4" w:rsidRDefault="002934DF" w:rsidP="00293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13">
        <w:rPr>
          <w:rFonts w:ascii="Times New Roman" w:hAnsi="Times New Roman" w:cs="Times New Roman"/>
          <w:sz w:val="28"/>
          <w:szCs w:val="28"/>
        </w:rPr>
        <w:t xml:space="preserve">В целях увеличения эффективности работы с обращениями </w:t>
      </w:r>
      <w:r w:rsidRPr="00C73113">
        <w:rPr>
          <w:rFonts w:ascii="Times New Roman" w:eastAsia="Times New Roman" w:hAnsi="Times New Roman" w:cs="Times New Roman"/>
          <w:color w:val="000000"/>
          <w:sz w:val="28"/>
          <w:szCs w:val="28"/>
        </w:rPr>
        <w:t>с 1 июля 2017 г. в Администрацию Президента РФ направляется ежемесячный мониторинг  и анализ результатов рассмотрения обращений граждан и организаций</w:t>
      </w:r>
      <w:r w:rsidR="00B72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9A0" w:rsidRPr="00C73113">
        <w:rPr>
          <w:rFonts w:ascii="Times New Roman" w:eastAsia="Times New Roman" w:hAnsi="Times New Roman" w:cs="Times New Roman"/>
          <w:color w:val="000000"/>
          <w:sz w:val="28"/>
          <w:szCs w:val="28"/>
        </w:rPr>
        <w:t>(счётчик обращений)</w:t>
      </w:r>
      <w:r w:rsidRPr="00C7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поступивших в администрацию </w:t>
      </w:r>
      <w:proofErr w:type="spellStart"/>
      <w:r w:rsidRPr="00C73113">
        <w:rPr>
          <w:rFonts w:ascii="Times New Roman" w:eastAsia="Times New Roman" w:hAnsi="Times New Roman" w:cs="Times New Roman"/>
          <w:color w:val="000000"/>
          <w:sz w:val="28"/>
          <w:szCs w:val="28"/>
        </w:rPr>
        <w:t>Тайшетского</w:t>
      </w:r>
      <w:proofErr w:type="spellEnd"/>
      <w:r w:rsidRPr="00C7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616" w:rsidRPr="00387A05" w:rsidRDefault="00F76616" w:rsidP="002934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За отчётный период принято на личном приеме в администрации района: </w:t>
      </w:r>
      <w:r>
        <w:rPr>
          <w:rFonts w:ascii="Times New Roman" w:hAnsi="Times New Roman" w:cs="Times New Roman"/>
          <w:b/>
          <w:sz w:val="28"/>
          <w:szCs w:val="28"/>
        </w:rPr>
        <w:t>304</w:t>
      </w:r>
      <w:r w:rsidRPr="00387A05">
        <w:rPr>
          <w:rFonts w:ascii="Times New Roman" w:hAnsi="Times New Roman" w:cs="Times New Roman"/>
          <w:sz w:val="28"/>
          <w:szCs w:val="28"/>
        </w:rPr>
        <w:t xml:space="preserve"> человека  в том числе:</w:t>
      </w:r>
    </w:p>
    <w:p w:rsidR="00F76616" w:rsidRPr="00387A05" w:rsidRDefault="00F76616" w:rsidP="00F7661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Мэром –  </w:t>
      </w:r>
      <w:r>
        <w:rPr>
          <w:rFonts w:ascii="Times New Roman" w:hAnsi="Times New Roman" w:cs="Times New Roman"/>
          <w:b/>
          <w:sz w:val="28"/>
          <w:szCs w:val="28"/>
        </w:rPr>
        <w:t>216</w:t>
      </w:r>
      <w:r w:rsidRPr="0038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2017г. – 11</w:t>
      </w:r>
      <w:r w:rsidRPr="00387A0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6616" w:rsidRPr="00387A05" w:rsidRDefault="00F76616" w:rsidP="00F76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>Первым заместителем –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38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2017г. – 7</w:t>
      </w:r>
      <w:r w:rsidRPr="00387A0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6616" w:rsidRPr="00387A05" w:rsidRDefault="00F76616" w:rsidP="00F76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Заместителем по социальным вопросам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87A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 2017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г.- </w:t>
      </w:r>
      <w:r>
        <w:rPr>
          <w:rFonts w:ascii="Times New Roman" w:hAnsi="Times New Roman" w:cs="Times New Roman"/>
          <w:i/>
          <w:sz w:val="28"/>
          <w:szCs w:val="28"/>
        </w:rPr>
        <w:t>116</w:t>
      </w:r>
      <w:r w:rsidRPr="00387A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16" w:rsidRPr="00387A05" w:rsidRDefault="00F76616" w:rsidP="00F76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Заместителем по финансово-экономическим вопросам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7A05">
        <w:rPr>
          <w:rFonts w:ascii="Times New Roman" w:hAnsi="Times New Roman" w:cs="Times New Roman"/>
          <w:b/>
          <w:sz w:val="28"/>
          <w:szCs w:val="28"/>
        </w:rPr>
        <w:t>.</w:t>
      </w:r>
    </w:p>
    <w:p w:rsidR="00F76616" w:rsidRPr="00387A05" w:rsidRDefault="00F76616" w:rsidP="00F76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Аппаратом администрации  – </w:t>
      </w:r>
      <w:r w:rsidRPr="00387A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7A05">
        <w:rPr>
          <w:rFonts w:ascii="Times New Roman" w:hAnsi="Times New Roman" w:cs="Times New Roman"/>
          <w:sz w:val="28"/>
          <w:szCs w:val="28"/>
        </w:rPr>
        <w:t>.</w:t>
      </w:r>
    </w:p>
    <w:p w:rsidR="00387A05" w:rsidRPr="00387A05" w:rsidRDefault="00F76616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темы </w:t>
      </w:r>
      <w:r w:rsidR="00A85507">
        <w:rPr>
          <w:rFonts w:ascii="Times New Roman" w:hAnsi="Times New Roman" w:cs="Times New Roman"/>
          <w:sz w:val="28"/>
          <w:szCs w:val="28"/>
        </w:rPr>
        <w:t xml:space="preserve"> вопросов обратившихся людей</w:t>
      </w:r>
      <w:r w:rsidR="00387A05" w:rsidRPr="00387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(некачественное предоставление жилищно-коммунальных услуг; предоставление жилья малообеспеченным категориям граждан;  ремонт и выделение жилья; - тепло </w:t>
      </w:r>
      <w:proofErr w:type="gramStart"/>
      <w:r w:rsidRPr="00387A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A05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B07ACA">
        <w:rPr>
          <w:rFonts w:ascii="Times New Roman" w:hAnsi="Times New Roman" w:cs="Times New Roman"/>
          <w:sz w:val="28"/>
          <w:szCs w:val="28"/>
        </w:rPr>
        <w:t>; переселение из ветхого и аварийного жилья</w:t>
      </w:r>
      <w:r w:rsidRPr="00387A05">
        <w:rPr>
          <w:rFonts w:ascii="Times New Roman" w:hAnsi="Times New Roman" w:cs="Times New Roman"/>
          <w:sz w:val="28"/>
          <w:szCs w:val="28"/>
        </w:rPr>
        <w:t>) поступило –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A0A">
        <w:rPr>
          <w:rFonts w:ascii="Times New Roman" w:hAnsi="Times New Roman" w:cs="Times New Roman"/>
          <w:b/>
          <w:sz w:val="28"/>
          <w:szCs w:val="28"/>
        </w:rPr>
        <w:t>139</w:t>
      </w:r>
      <w:r w:rsidRPr="00387A05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B45A0A">
        <w:rPr>
          <w:rFonts w:ascii="Times New Roman" w:hAnsi="Times New Roman" w:cs="Times New Roman"/>
          <w:i/>
          <w:sz w:val="28"/>
          <w:szCs w:val="28"/>
        </w:rPr>
        <w:t>(в 2017г. – 118</w:t>
      </w:r>
      <w:r w:rsidRPr="00387A05">
        <w:rPr>
          <w:rFonts w:ascii="Times New Roman" w:hAnsi="Times New Roman" w:cs="Times New Roman"/>
          <w:i/>
          <w:sz w:val="28"/>
          <w:szCs w:val="28"/>
        </w:rPr>
        <w:t>);</w:t>
      </w:r>
    </w:p>
    <w:p w:rsidR="00713DFB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- социальное обеспечение и социальная защита населения, оказание материальной помощи; предоставление мест в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>/саду; вопросы трудоустройства</w:t>
      </w:r>
      <w:r w:rsidR="000652CD">
        <w:rPr>
          <w:rFonts w:ascii="Times New Roman" w:hAnsi="Times New Roman" w:cs="Times New Roman"/>
          <w:sz w:val="28"/>
          <w:szCs w:val="28"/>
        </w:rPr>
        <w:t xml:space="preserve"> и заработной платы</w:t>
      </w:r>
      <w:r w:rsidRPr="00387A05">
        <w:rPr>
          <w:rFonts w:ascii="Times New Roman" w:hAnsi="Times New Roman" w:cs="Times New Roman"/>
          <w:sz w:val="28"/>
          <w:szCs w:val="28"/>
        </w:rPr>
        <w:t xml:space="preserve"> – </w:t>
      </w:r>
      <w:r w:rsidR="00C22FE5">
        <w:rPr>
          <w:rFonts w:ascii="Times New Roman" w:hAnsi="Times New Roman" w:cs="Times New Roman"/>
          <w:b/>
          <w:sz w:val="28"/>
          <w:szCs w:val="28"/>
        </w:rPr>
        <w:t>259</w:t>
      </w:r>
      <w:r w:rsidRPr="00387A05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C22FE5">
        <w:rPr>
          <w:rFonts w:ascii="Times New Roman" w:hAnsi="Times New Roman" w:cs="Times New Roman"/>
          <w:i/>
          <w:sz w:val="28"/>
          <w:szCs w:val="28"/>
        </w:rPr>
        <w:t>(в 2017г.- 185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87A05" w:rsidRPr="00387A05" w:rsidRDefault="002D4E5E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незаконных лесных вырубок</w:t>
      </w:r>
      <w:r w:rsidR="00387A05" w:rsidRPr="00387A05">
        <w:rPr>
          <w:rFonts w:ascii="Times New Roman" w:hAnsi="Times New Roman" w:cs="Times New Roman"/>
          <w:sz w:val="28"/>
          <w:szCs w:val="28"/>
        </w:rPr>
        <w:t>, загрязнением окружающей среды</w:t>
      </w:r>
      <w:r>
        <w:rPr>
          <w:rFonts w:ascii="Times New Roman" w:hAnsi="Times New Roman" w:cs="Times New Roman"/>
          <w:sz w:val="28"/>
          <w:szCs w:val="28"/>
        </w:rPr>
        <w:t>; ремонт и строительство автомобильных дорог; выделение земельных участков; вопросы архитектуры и строительства.</w:t>
      </w:r>
      <w:r w:rsidR="00387A05" w:rsidRPr="00387A05">
        <w:rPr>
          <w:rFonts w:ascii="Times New Roman" w:hAnsi="Times New Roman" w:cs="Times New Roman"/>
          <w:sz w:val="28"/>
          <w:szCs w:val="28"/>
        </w:rPr>
        <w:t xml:space="preserve">  За отчётный период таких обращений поступило - </w:t>
      </w:r>
      <w:r w:rsidR="009E67B7">
        <w:rPr>
          <w:rFonts w:ascii="Times New Roman" w:hAnsi="Times New Roman" w:cs="Times New Roman"/>
          <w:b/>
          <w:sz w:val="28"/>
          <w:szCs w:val="28"/>
        </w:rPr>
        <w:t>69</w:t>
      </w:r>
      <w:r w:rsidR="00387A05" w:rsidRPr="00387A05">
        <w:rPr>
          <w:rFonts w:ascii="Times New Roman" w:hAnsi="Times New Roman" w:cs="Times New Roman"/>
          <w:sz w:val="28"/>
          <w:szCs w:val="28"/>
        </w:rPr>
        <w:t xml:space="preserve">  </w:t>
      </w:r>
      <w:r w:rsidR="005020AF">
        <w:rPr>
          <w:rFonts w:ascii="Times New Roman" w:hAnsi="Times New Roman" w:cs="Times New Roman"/>
          <w:i/>
          <w:sz w:val="28"/>
          <w:szCs w:val="28"/>
        </w:rPr>
        <w:t>(в 2017</w:t>
      </w:r>
      <w:r w:rsidR="00387A05" w:rsidRPr="00387A05">
        <w:rPr>
          <w:rFonts w:ascii="Times New Roman" w:hAnsi="Times New Roman" w:cs="Times New Roman"/>
          <w:i/>
          <w:sz w:val="28"/>
          <w:szCs w:val="28"/>
        </w:rPr>
        <w:t>г.-</w:t>
      </w:r>
      <w:r w:rsidR="009E67B7">
        <w:rPr>
          <w:rFonts w:ascii="Times New Roman" w:hAnsi="Times New Roman" w:cs="Times New Roman"/>
          <w:i/>
          <w:sz w:val="28"/>
          <w:szCs w:val="28"/>
        </w:rPr>
        <w:t xml:space="preserve"> 48</w:t>
      </w:r>
      <w:r w:rsidR="00387A05" w:rsidRPr="00387A05">
        <w:rPr>
          <w:rFonts w:ascii="Times New Roman" w:hAnsi="Times New Roman" w:cs="Times New Roman"/>
          <w:i/>
          <w:sz w:val="28"/>
          <w:szCs w:val="28"/>
        </w:rPr>
        <w:t>).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По вопросам транспорта и связи направлено </w:t>
      </w:r>
      <w:r w:rsidR="002C4C09">
        <w:rPr>
          <w:rFonts w:ascii="Times New Roman" w:hAnsi="Times New Roman" w:cs="Times New Roman"/>
          <w:b/>
          <w:sz w:val="28"/>
          <w:szCs w:val="28"/>
        </w:rPr>
        <w:t>25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09">
        <w:rPr>
          <w:rFonts w:ascii="Times New Roman" w:hAnsi="Times New Roman" w:cs="Times New Roman"/>
          <w:sz w:val="28"/>
          <w:szCs w:val="28"/>
        </w:rPr>
        <w:t>обращений</w:t>
      </w:r>
      <w:r w:rsidRPr="00387A05">
        <w:rPr>
          <w:rFonts w:ascii="Times New Roman" w:hAnsi="Times New Roman" w:cs="Times New Roman"/>
          <w:sz w:val="28"/>
          <w:szCs w:val="28"/>
        </w:rPr>
        <w:t xml:space="preserve"> </w:t>
      </w:r>
      <w:r w:rsidR="005020AF">
        <w:rPr>
          <w:rFonts w:ascii="Times New Roman" w:hAnsi="Times New Roman" w:cs="Times New Roman"/>
          <w:i/>
          <w:sz w:val="28"/>
          <w:szCs w:val="28"/>
        </w:rPr>
        <w:t>(2017г</w:t>
      </w:r>
      <w:r w:rsidR="002C4C09">
        <w:rPr>
          <w:rFonts w:ascii="Times New Roman" w:hAnsi="Times New Roman" w:cs="Times New Roman"/>
          <w:i/>
          <w:sz w:val="28"/>
          <w:szCs w:val="28"/>
        </w:rPr>
        <w:t>. – 27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 обращений).</w:t>
      </w:r>
    </w:p>
    <w:p w:rsidR="00713DFB" w:rsidRDefault="00387A05" w:rsidP="00713D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Вопросы здравоохранения, порядок оказания медицинской помощи различным категориям граждан отражены в </w:t>
      </w:r>
      <w:r w:rsidRPr="00387A05">
        <w:rPr>
          <w:rFonts w:ascii="Times New Roman" w:hAnsi="Times New Roman" w:cs="Times New Roman"/>
          <w:b/>
          <w:sz w:val="28"/>
          <w:szCs w:val="28"/>
        </w:rPr>
        <w:t>1</w:t>
      </w:r>
      <w:r w:rsidR="002C4C09">
        <w:rPr>
          <w:rFonts w:ascii="Times New Roman" w:hAnsi="Times New Roman" w:cs="Times New Roman"/>
          <w:b/>
          <w:sz w:val="28"/>
          <w:szCs w:val="28"/>
        </w:rPr>
        <w:t>1</w:t>
      </w:r>
      <w:r w:rsidR="002C4C09">
        <w:rPr>
          <w:rFonts w:ascii="Times New Roman" w:hAnsi="Times New Roman" w:cs="Times New Roman"/>
          <w:sz w:val="28"/>
          <w:szCs w:val="28"/>
        </w:rPr>
        <w:t xml:space="preserve"> обращениях</w:t>
      </w:r>
      <w:r w:rsidRPr="00387A05">
        <w:rPr>
          <w:rFonts w:ascii="Times New Roman" w:hAnsi="Times New Roman" w:cs="Times New Roman"/>
          <w:sz w:val="28"/>
          <w:szCs w:val="28"/>
        </w:rPr>
        <w:t xml:space="preserve"> </w:t>
      </w:r>
      <w:r w:rsidR="005020AF">
        <w:rPr>
          <w:rFonts w:ascii="Times New Roman" w:hAnsi="Times New Roman" w:cs="Times New Roman"/>
          <w:i/>
          <w:sz w:val="28"/>
          <w:szCs w:val="28"/>
        </w:rPr>
        <w:t>(2017</w:t>
      </w:r>
      <w:r w:rsidR="002C4C09">
        <w:rPr>
          <w:rFonts w:ascii="Times New Roman" w:hAnsi="Times New Roman" w:cs="Times New Roman"/>
          <w:i/>
          <w:sz w:val="28"/>
          <w:szCs w:val="28"/>
        </w:rPr>
        <w:t>г. – 3</w:t>
      </w:r>
      <w:r w:rsidR="00713DFB">
        <w:rPr>
          <w:rFonts w:ascii="Times New Roman" w:hAnsi="Times New Roman" w:cs="Times New Roman"/>
          <w:i/>
          <w:sz w:val="28"/>
          <w:szCs w:val="28"/>
        </w:rPr>
        <w:t xml:space="preserve"> обращение) </w:t>
      </w:r>
      <w:r w:rsidR="00713DFB" w:rsidRPr="00387A05">
        <w:rPr>
          <w:rFonts w:ascii="Times New Roman" w:hAnsi="Times New Roman" w:cs="Times New Roman"/>
          <w:i/>
          <w:sz w:val="28"/>
          <w:szCs w:val="28"/>
        </w:rPr>
        <w:t xml:space="preserve">и другие вопросы </w:t>
      </w:r>
      <w:r w:rsidR="00713DFB" w:rsidRPr="00713DF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13DFB" w:rsidRPr="00713DFB">
        <w:rPr>
          <w:rFonts w:ascii="Times New Roman" w:hAnsi="Times New Roman" w:cs="Times New Roman"/>
          <w:b/>
          <w:sz w:val="28"/>
          <w:szCs w:val="28"/>
        </w:rPr>
        <w:t>21.</w:t>
      </w:r>
    </w:p>
    <w:p w:rsidR="00E877A8" w:rsidRDefault="00387A05" w:rsidP="00A77BC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Как и раньше население волнуют коллективные социальные вопросы (родители учащихся, жильцы многоквартирных домов и т.д.)   число коллективных обращений  составило </w:t>
      </w:r>
      <w:r w:rsidR="00A77BC0">
        <w:rPr>
          <w:rFonts w:ascii="Times New Roman" w:hAnsi="Times New Roman" w:cs="Times New Roman"/>
          <w:b/>
          <w:sz w:val="28"/>
          <w:szCs w:val="28"/>
        </w:rPr>
        <w:t>40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BC0">
        <w:rPr>
          <w:rFonts w:ascii="Times New Roman" w:hAnsi="Times New Roman" w:cs="Times New Roman"/>
          <w:i/>
          <w:sz w:val="28"/>
          <w:szCs w:val="28"/>
        </w:rPr>
        <w:t>(в 2017г. - 34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77BC0" w:rsidRDefault="00387A05" w:rsidP="00A77B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>По с</w:t>
      </w:r>
      <w:r w:rsidR="00A77BC0">
        <w:rPr>
          <w:rFonts w:ascii="Times New Roman" w:hAnsi="Times New Roman" w:cs="Times New Roman"/>
          <w:sz w:val="28"/>
          <w:szCs w:val="28"/>
        </w:rPr>
        <w:t>равнению с прошлым годом увеличи</w:t>
      </w:r>
      <w:r w:rsidRPr="00387A05">
        <w:rPr>
          <w:rFonts w:ascii="Times New Roman" w:hAnsi="Times New Roman" w:cs="Times New Roman"/>
          <w:sz w:val="28"/>
          <w:szCs w:val="28"/>
        </w:rPr>
        <w:t xml:space="preserve">лось число повторных обращений – </w:t>
      </w:r>
      <w:r w:rsidR="00A77BC0">
        <w:rPr>
          <w:rFonts w:ascii="Times New Roman" w:hAnsi="Times New Roman" w:cs="Times New Roman"/>
          <w:b/>
          <w:sz w:val="28"/>
          <w:szCs w:val="28"/>
        </w:rPr>
        <w:t>35</w:t>
      </w:r>
      <w:r w:rsidRPr="00387A05">
        <w:rPr>
          <w:rFonts w:ascii="Times New Roman" w:hAnsi="Times New Roman" w:cs="Times New Roman"/>
          <w:sz w:val="28"/>
          <w:szCs w:val="28"/>
        </w:rPr>
        <w:t xml:space="preserve"> </w:t>
      </w:r>
      <w:r w:rsidR="005020AF">
        <w:rPr>
          <w:rFonts w:ascii="Times New Roman" w:hAnsi="Times New Roman" w:cs="Times New Roman"/>
          <w:i/>
          <w:sz w:val="28"/>
          <w:szCs w:val="28"/>
        </w:rPr>
        <w:t>(в 2017г.- 2</w:t>
      </w:r>
      <w:r w:rsidRPr="00387A05">
        <w:rPr>
          <w:rFonts w:ascii="Times New Roman" w:hAnsi="Times New Roman" w:cs="Times New Roman"/>
          <w:i/>
          <w:sz w:val="28"/>
          <w:szCs w:val="28"/>
        </w:rPr>
        <w:t>).</w:t>
      </w:r>
      <w:r w:rsidR="00A77BC0">
        <w:rPr>
          <w:rFonts w:ascii="Times New Roman" w:hAnsi="Times New Roman" w:cs="Times New Roman"/>
          <w:sz w:val="28"/>
          <w:szCs w:val="28"/>
        </w:rPr>
        <w:t xml:space="preserve"> Данное увеличение вызвано обращениями по вопросам предоставления мест в детском саду.</w:t>
      </w:r>
      <w:r w:rsidR="00A77BC0" w:rsidRPr="00A77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F85">
        <w:rPr>
          <w:rFonts w:ascii="Times New Roman" w:hAnsi="Times New Roman" w:cs="Times New Roman"/>
          <w:sz w:val="28"/>
          <w:szCs w:val="28"/>
        </w:rPr>
        <w:t>В 2018</w:t>
      </w:r>
      <w:r w:rsidR="00A77BC0" w:rsidRPr="00A77BC0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особо остро стоит вопрос по обеспечению детей местами в </w:t>
      </w:r>
      <w:proofErr w:type="spellStart"/>
      <w:r w:rsidR="00A77BC0" w:rsidRPr="00A77BC0">
        <w:rPr>
          <w:rFonts w:ascii="Times New Roman" w:hAnsi="Times New Roman" w:cs="Times New Roman"/>
          <w:sz w:val="28"/>
          <w:szCs w:val="28"/>
        </w:rPr>
        <w:t>дошкольнообразовательные</w:t>
      </w:r>
      <w:proofErr w:type="spellEnd"/>
      <w:r w:rsidR="00975F8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77BC0" w:rsidRPr="00A77BC0">
        <w:rPr>
          <w:rFonts w:ascii="Times New Roman" w:hAnsi="Times New Roman" w:cs="Times New Roman"/>
          <w:sz w:val="28"/>
          <w:szCs w:val="28"/>
        </w:rPr>
        <w:t>. По данному вопросу в администрацию района обратилось заявителей письменно – 35 чел., устно – 123 чел.</w:t>
      </w:r>
    </w:p>
    <w:p w:rsidR="00F3016D" w:rsidRPr="00A77BC0" w:rsidRDefault="00F3016D" w:rsidP="00F301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1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7A05" w:rsidRPr="00A77BC0" w:rsidRDefault="00E877A8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индивидуально подходит к решению вопросов обратившихся граждан и по мере сил и полномочий старается решить данные проблемы. Из </w:t>
      </w:r>
      <w:r w:rsidR="00975F85">
        <w:rPr>
          <w:rFonts w:ascii="Times New Roman" w:hAnsi="Times New Roman" w:cs="Times New Roman"/>
          <w:sz w:val="28"/>
          <w:szCs w:val="28"/>
        </w:rPr>
        <w:t xml:space="preserve"> числа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75F85">
        <w:rPr>
          <w:rFonts w:ascii="Times New Roman" w:hAnsi="Times New Roman" w:cs="Times New Roman"/>
          <w:sz w:val="28"/>
          <w:szCs w:val="28"/>
        </w:rPr>
        <w:t>положительно решено</w:t>
      </w:r>
    </w:p>
    <w:p w:rsidR="00387A05" w:rsidRPr="00677EE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E5">
        <w:rPr>
          <w:rFonts w:ascii="Times New Roman" w:hAnsi="Times New Roman" w:cs="Times New Roman"/>
          <w:sz w:val="28"/>
          <w:szCs w:val="28"/>
        </w:rPr>
        <w:t xml:space="preserve">По </w:t>
      </w:r>
      <w:r w:rsidR="006F3997" w:rsidRPr="00677EE5">
        <w:rPr>
          <w:rFonts w:ascii="Times New Roman" w:hAnsi="Times New Roman" w:cs="Times New Roman"/>
          <w:b/>
          <w:sz w:val="28"/>
          <w:szCs w:val="28"/>
        </w:rPr>
        <w:t>42</w:t>
      </w:r>
      <w:r w:rsidRPr="00677EE5">
        <w:rPr>
          <w:rFonts w:ascii="Times New Roman" w:hAnsi="Times New Roman" w:cs="Times New Roman"/>
          <w:sz w:val="28"/>
          <w:szCs w:val="28"/>
        </w:rPr>
        <w:t xml:space="preserve"> письменным и </w:t>
      </w:r>
      <w:r w:rsidR="006F3997" w:rsidRPr="00677EE5">
        <w:rPr>
          <w:rFonts w:ascii="Times New Roman" w:hAnsi="Times New Roman" w:cs="Times New Roman"/>
          <w:b/>
          <w:sz w:val="28"/>
          <w:szCs w:val="28"/>
        </w:rPr>
        <w:t>81</w:t>
      </w:r>
      <w:r w:rsidR="00677EE5" w:rsidRPr="00677EE5">
        <w:rPr>
          <w:rFonts w:ascii="Times New Roman" w:hAnsi="Times New Roman" w:cs="Times New Roman"/>
          <w:sz w:val="28"/>
          <w:szCs w:val="28"/>
        </w:rPr>
        <w:t xml:space="preserve"> устным</w:t>
      </w:r>
      <w:r w:rsidR="006F3997" w:rsidRPr="00677EE5">
        <w:rPr>
          <w:rFonts w:ascii="Times New Roman" w:hAnsi="Times New Roman" w:cs="Times New Roman"/>
          <w:sz w:val="28"/>
          <w:szCs w:val="28"/>
        </w:rPr>
        <w:t xml:space="preserve"> обращениям приняты положительные решения</w:t>
      </w:r>
      <w:r w:rsidRPr="00677EE5">
        <w:rPr>
          <w:rFonts w:ascii="Times New Roman" w:hAnsi="Times New Roman" w:cs="Times New Roman"/>
          <w:sz w:val="28"/>
          <w:szCs w:val="28"/>
        </w:rPr>
        <w:t>.</w:t>
      </w:r>
      <w:r w:rsidR="00677EE5">
        <w:rPr>
          <w:rFonts w:ascii="Times New Roman" w:hAnsi="Times New Roman" w:cs="Times New Roman"/>
          <w:sz w:val="28"/>
          <w:szCs w:val="28"/>
        </w:rPr>
        <w:t xml:space="preserve"> Это в основном внеочередное предоставление мест в детском саду гражданам из числа малообеспеченных слоев населения остро нуждающихся в выделении мест или льготникам. Положительные решения принимались для оказания помощи гражданам, пострадавшим от пожара в выделении строительного пиломатериала для восстановления жилья. </w:t>
      </w:r>
      <w:r w:rsidR="00C21FA2">
        <w:rPr>
          <w:rFonts w:ascii="Times New Roman" w:hAnsi="Times New Roman" w:cs="Times New Roman"/>
          <w:sz w:val="28"/>
          <w:szCs w:val="28"/>
        </w:rPr>
        <w:t xml:space="preserve">Оказывалась помощь одиноко проживающим гражданам преклонного возраста в выделении дровяного топлива. </w:t>
      </w:r>
      <w:r w:rsidR="00677E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77EE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677EE5">
        <w:rPr>
          <w:rFonts w:ascii="Times New Roman" w:hAnsi="Times New Roman" w:cs="Times New Roman"/>
          <w:sz w:val="28"/>
          <w:szCs w:val="28"/>
        </w:rPr>
        <w:t xml:space="preserve"> района изыскивала внебюджетные средства, привлекая спонсоров из числа предпринимателей для оказания помощи гражданам. </w:t>
      </w:r>
      <w:r w:rsidR="00C21FA2">
        <w:rPr>
          <w:rFonts w:ascii="Times New Roman" w:hAnsi="Times New Roman" w:cs="Times New Roman"/>
          <w:sz w:val="28"/>
          <w:szCs w:val="28"/>
        </w:rPr>
        <w:t>Изыскивались внебюджетные средства для оказания материальной помощи для поездок одарённых детей на спортивные мероприятия и награждения за участия в различных конкурсах. Оказывалась практическая помощь в составлении исковых заявлений в суд для малоимущих граждан.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Направлено заявителям </w:t>
      </w:r>
      <w:r w:rsidR="006F3997">
        <w:rPr>
          <w:rFonts w:ascii="Times New Roman" w:hAnsi="Times New Roman" w:cs="Times New Roman"/>
          <w:b/>
          <w:sz w:val="28"/>
          <w:szCs w:val="28"/>
        </w:rPr>
        <w:t>176</w:t>
      </w:r>
      <w:r w:rsidRPr="00387A05">
        <w:rPr>
          <w:rFonts w:ascii="Times New Roman" w:hAnsi="Times New Roman" w:cs="Times New Roman"/>
          <w:sz w:val="28"/>
          <w:szCs w:val="28"/>
        </w:rPr>
        <w:t xml:space="preserve"> письменных ответов разъяснительного характера, устно разъяснено по </w:t>
      </w:r>
      <w:r w:rsidR="006F3997">
        <w:rPr>
          <w:rFonts w:ascii="Times New Roman" w:hAnsi="Times New Roman" w:cs="Times New Roman"/>
          <w:b/>
          <w:sz w:val="28"/>
          <w:szCs w:val="28"/>
        </w:rPr>
        <w:t>219</w:t>
      </w:r>
      <w:r w:rsidRPr="00387A05">
        <w:rPr>
          <w:rFonts w:ascii="Times New Roman" w:hAnsi="Times New Roman" w:cs="Times New Roman"/>
          <w:sz w:val="28"/>
          <w:szCs w:val="28"/>
        </w:rPr>
        <w:t xml:space="preserve"> обращениям. Отказано по объективным причинам  по</w:t>
      </w:r>
      <w:r w:rsidR="00677EE5">
        <w:rPr>
          <w:rFonts w:ascii="Times New Roman" w:hAnsi="Times New Roman" w:cs="Times New Roman"/>
          <w:sz w:val="28"/>
          <w:szCs w:val="28"/>
        </w:rPr>
        <w:t xml:space="preserve"> </w:t>
      </w:r>
      <w:r w:rsidR="00677EE5" w:rsidRPr="00677EE5">
        <w:rPr>
          <w:rFonts w:ascii="Times New Roman" w:hAnsi="Times New Roman" w:cs="Times New Roman"/>
          <w:b/>
          <w:sz w:val="28"/>
          <w:szCs w:val="28"/>
        </w:rPr>
        <w:t>1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7A05">
        <w:rPr>
          <w:rFonts w:ascii="Times New Roman" w:hAnsi="Times New Roman" w:cs="Times New Roman"/>
          <w:sz w:val="28"/>
          <w:szCs w:val="28"/>
        </w:rPr>
        <w:t>письменн</w:t>
      </w:r>
      <w:r w:rsidR="006F3997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677EE5">
        <w:rPr>
          <w:rFonts w:ascii="Times New Roman" w:hAnsi="Times New Roman" w:cs="Times New Roman"/>
          <w:b/>
          <w:sz w:val="28"/>
          <w:szCs w:val="28"/>
        </w:rPr>
        <w:t>,</w:t>
      </w:r>
      <w:r w:rsidR="006F399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05">
        <w:rPr>
          <w:rFonts w:ascii="Times New Roman" w:hAnsi="Times New Roman" w:cs="Times New Roman"/>
          <w:sz w:val="28"/>
          <w:szCs w:val="28"/>
        </w:rPr>
        <w:t>устным обращениям. Не подтвердились сведенья по</w:t>
      </w:r>
      <w:r w:rsidR="006F39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3997">
        <w:rPr>
          <w:rFonts w:ascii="Times New Roman" w:hAnsi="Times New Roman" w:cs="Times New Roman"/>
          <w:sz w:val="28"/>
          <w:szCs w:val="28"/>
        </w:rPr>
        <w:t>письменному</w:t>
      </w:r>
      <w:proofErr w:type="gramEnd"/>
      <w:r w:rsidR="006F3997">
        <w:rPr>
          <w:rFonts w:ascii="Times New Roman" w:hAnsi="Times New Roman" w:cs="Times New Roman"/>
          <w:sz w:val="28"/>
          <w:szCs w:val="28"/>
        </w:rPr>
        <w:t xml:space="preserve"> и </w:t>
      </w:r>
      <w:r w:rsidR="006F3997" w:rsidRPr="00677EE5">
        <w:rPr>
          <w:rFonts w:ascii="Times New Roman" w:hAnsi="Times New Roman" w:cs="Times New Roman"/>
          <w:b/>
          <w:sz w:val="28"/>
          <w:szCs w:val="28"/>
        </w:rPr>
        <w:t>2</w:t>
      </w:r>
      <w:r w:rsidR="006F3997">
        <w:rPr>
          <w:rFonts w:ascii="Times New Roman" w:hAnsi="Times New Roman" w:cs="Times New Roman"/>
          <w:sz w:val="28"/>
          <w:szCs w:val="28"/>
        </w:rPr>
        <w:t xml:space="preserve"> устным</w:t>
      </w:r>
      <w:r w:rsidR="00677EE5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Pr="00387A05">
        <w:rPr>
          <w:rFonts w:ascii="Times New Roman" w:hAnsi="Times New Roman" w:cs="Times New Roman"/>
          <w:b/>
          <w:sz w:val="28"/>
          <w:szCs w:val="28"/>
        </w:rPr>
        <w:t>1</w:t>
      </w:r>
      <w:r w:rsidR="00C21FA2">
        <w:rPr>
          <w:rFonts w:ascii="Times New Roman" w:hAnsi="Times New Roman" w:cs="Times New Roman"/>
          <w:b/>
          <w:sz w:val="28"/>
          <w:szCs w:val="28"/>
        </w:rPr>
        <w:t>4</w:t>
      </w:r>
      <w:r w:rsidRPr="00387A05">
        <w:rPr>
          <w:rFonts w:ascii="Times New Roman" w:hAnsi="Times New Roman" w:cs="Times New Roman"/>
          <w:sz w:val="28"/>
          <w:szCs w:val="28"/>
        </w:rPr>
        <w:t xml:space="preserve"> обращений, по всем приняты меры быстрого реагирования и даны ответы. </w:t>
      </w:r>
    </w:p>
    <w:p w:rsid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По </w:t>
      </w:r>
      <w:r w:rsidRPr="00387A05">
        <w:rPr>
          <w:rFonts w:ascii="Times New Roman" w:hAnsi="Times New Roman" w:cs="Times New Roman"/>
          <w:b/>
          <w:sz w:val="28"/>
          <w:szCs w:val="28"/>
        </w:rPr>
        <w:t>1</w:t>
      </w:r>
      <w:r w:rsidRPr="00387A05">
        <w:rPr>
          <w:rFonts w:ascii="Times New Roman" w:hAnsi="Times New Roman" w:cs="Times New Roman"/>
          <w:sz w:val="28"/>
          <w:szCs w:val="28"/>
        </w:rPr>
        <w:t xml:space="preserve"> обращению ответ дан с публикацией в газете «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Бирюсинская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CD2AA6" w:rsidRDefault="00CD2AA6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быстрого взаимодействия с гражданами по обращениям, жалобам и заявлениям 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Pr="000D3EEA">
        <w:rPr>
          <w:rFonts w:ascii="Times New Roman" w:hAnsi="Times New Roman" w:cs="Times New Roman"/>
          <w:sz w:val="28"/>
          <w:szCs w:val="28"/>
        </w:rPr>
        <w:t>родолжае</w:t>
      </w:r>
      <w:r>
        <w:rPr>
          <w:rFonts w:ascii="Times New Roman" w:hAnsi="Times New Roman" w:cs="Times New Roman"/>
          <w:sz w:val="28"/>
          <w:szCs w:val="28"/>
        </w:rPr>
        <w:t>т работать</w:t>
      </w:r>
      <w:r w:rsidRPr="000D3EEA">
        <w:rPr>
          <w:rFonts w:ascii="Times New Roman" w:hAnsi="Times New Roman" w:cs="Times New Roman"/>
          <w:sz w:val="28"/>
          <w:szCs w:val="28"/>
        </w:rPr>
        <w:t xml:space="preserve"> Интернет-приёмная сайта </w:t>
      </w:r>
      <w:proofErr w:type="spellStart"/>
      <w:r w:rsidRPr="000D3EEA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0D3EEA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2934DF" w:rsidRPr="00C73113" w:rsidRDefault="002934DF" w:rsidP="0029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113">
        <w:rPr>
          <w:rFonts w:ascii="Times New Roman" w:hAnsi="Times New Roman" w:cs="Times New Roman"/>
          <w:sz w:val="28"/>
          <w:szCs w:val="28"/>
        </w:rPr>
        <w:t>Указанием Президента Российской Федерации от 26 апреля 2013 года № Пр-936 в День Конституции Российской Федерации ежегодно проводится Общероссийский</w:t>
      </w:r>
      <w:r w:rsidRPr="00C73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113">
        <w:rPr>
          <w:rFonts w:ascii="Times New Roman" w:hAnsi="Times New Roman" w:cs="Times New Roman"/>
          <w:sz w:val="28"/>
          <w:szCs w:val="28"/>
        </w:rPr>
        <w:t>День приема граждан.</w:t>
      </w:r>
    </w:p>
    <w:p w:rsidR="002934DF" w:rsidRDefault="002934DF" w:rsidP="002934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113">
        <w:rPr>
          <w:rFonts w:ascii="Times New Roman" w:hAnsi="Times New Roman" w:cs="Times New Roman"/>
          <w:sz w:val="28"/>
          <w:szCs w:val="28"/>
        </w:rPr>
        <w:t xml:space="preserve">Основной задачей проведения общероссийского дня приема граждан является реализация прав заявителей на получение ответов </w:t>
      </w:r>
      <w:r w:rsidRPr="00C73113">
        <w:rPr>
          <w:rFonts w:ascii="Times New Roman" w:hAnsi="Times New Roman" w:cs="Times New Roman"/>
          <w:sz w:val="28"/>
          <w:szCs w:val="28"/>
        </w:rPr>
        <w:br/>
        <w:t xml:space="preserve">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 </w:t>
      </w:r>
    </w:p>
    <w:p w:rsidR="002934DF" w:rsidRPr="00547FC0" w:rsidRDefault="002934DF" w:rsidP="00293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C0">
        <w:rPr>
          <w:rFonts w:ascii="Times New Roman" w:hAnsi="Times New Roman" w:cs="Times New Roman"/>
          <w:sz w:val="28"/>
          <w:szCs w:val="28"/>
        </w:rPr>
        <w:t xml:space="preserve">В 2018 году в администрации </w:t>
      </w:r>
      <w:proofErr w:type="spellStart"/>
      <w:r w:rsidRPr="00547FC0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547FC0">
        <w:rPr>
          <w:rFonts w:ascii="Times New Roman" w:hAnsi="Times New Roman" w:cs="Times New Roman"/>
          <w:sz w:val="28"/>
          <w:szCs w:val="28"/>
        </w:rPr>
        <w:t xml:space="preserve"> района 12 декабря проводился шестой общероссийский день приема граждан, принято четыре человека. </w:t>
      </w:r>
      <w:r w:rsidRPr="00547FC0">
        <w:rPr>
          <w:rFonts w:ascii="Times New Roman" w:hAnsi="Times New Roman" w:cs="Times New Roman"/>
          <w:color w:val="000000"/>
          <w:sz w:val="28"/>
          <w:szCs w:val="28"/>
        </w:rPr>
        <w:t>Вопросы, по которым обратились граждане это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юридическая помощь, предоставление</w:t>
      </w:r>
      <w:r w:rsidRPr="00547FC0">
        <w:rPr>
          <w:rFonts w:ascii="Times New Roman" w:hAnsi="Times New Roman" w:cs="Times New Roman"/>
          <w:color w:val="000000"/>
          <w:sz w:val="28"/>
          <w:szCs w:val="28"/>
        </w:rPr>
        <w:t xml:space="preserve"> жилья и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 трудоустройства</w:t>
      </w:r>
      <w:r w:rsidRPr="00547FC0">
        <w:rPr>
          <w:rFonts w:ascii="Times New Roman" w:hAnsi="Times New Roman" w:cs="Times New Roman"/>
          <w:color w:val="000000"/>
          <w:sz w:val="28"/>
          <w:szCs w:val="28"/>
        </w:rPr>
        <w:t>. По всем вопросам была дана правовая консультация.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Каждый год разрабатывается график выездных приёмов граждан в муниципальных образованиях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 на год. Ежемесячно мэром района утверждается график выездного приема граждан, который согласовывается с главами муници</w:t>
      </w:r>
      <w:r w:rsidR="005020AF">
        <w:rPr>
          <w:rFonts w:ascii="Times New Roman" w:hAnsi="Times New Roman" w:cs="Times New Roman"/>
          <w:sz w:val="28"/>
          <w:szCs w:val="28"/>
        </w:rPr>
        <w:t>пальных образований. За  2018</w:t>
      </w:r>
      <w:r w:rsidRPr="00387A05">
        <w:rPr>
          <w:rFonts w:ascii="Times New Roman" w:hAnsi="Times New Roman" w:cs="Times New Roman"/>
          <w:sz w:val="28"/>
          <w:szCs w:val="28"/>
        </w:rPr>
        <w:t xml:space="preserve"> год на </w:t>
      </w:r>
      <w:r w:rsidRPr="00387A0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района проведено </w:t>
      </w:r>
      <w:r w:rsidRPr="00387A05">
        <w:rPr>
          <w:rFonts w:ascii="Times New Roman" w:hAnsi="Times New Roman" w:cs="Times New Roman"/>
          <w:b/>
          <w:sz w:val="28"/>
          <w:szCs w:val="28"/>
        </w:rPr>
        <w:t>1</w:t>
      </w:r>
      <w:r w:rsidR="0021358B">
        <w:rPr>
          <w:rFonts w:ascii="Times New Roman" w:hAnsi="Times New Roman" w:cs="Times New Roman"/>
          <w:b/>
          <w:sz w:val="28"/>
          <w:szCs w:val="28"/>
        </w:rPr>
        <w:t>4</w:t>
      </w:r>
      <w:r w:rsidRPr="00387A05">
        <w:rPr>
          <w:rFonts w:ascii="Times New Roman" w:hAnsi="Times New Roman" w:cs="Times New Roman"/>
          <w:sz w:val="28"/>
          <w:szCs w:val="28"/>
        </w:rPr>
        <w:t xml:space="preserve"> выездных приёмов населения в </w:t>
      </w:r>
      <w:r w:rsidR="0021358B">
        <w:rPr>
          <w:rFonts w:ascii="Times New Roman" w:hAnsi="Times New Roman" w:cs="Times New Roman"/>
          <w:b/>
          <w:sz w:val="28"/>
          <w:szCs w:val="28"/>
        </w:rPr>
        <w:t>22</w:t>
      </w:r>
      <w:r w:rsidRPr="0038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58B">
        <w:rPr>
          <w:rFonts w:ascii="Times New Roman" w:hAnsi="Times New Roman" w:cs="Times New Roman"/>
          <w:sz w:val="28"/>
          <w:szCs w:val="28"/>
        </w:rPr>
        <w:t>муниципальных образованиях (26</w:t>
      </w:r>
      <w:r w:rsidRPr="00387A05">
        <w:rPr>
          <w:rFonts w:ascii="Times New Roman" w:hAnsi="Times New Roman" w:cs="Times New Roman"/>
          <w:sz w:val="28"/>
          <w:szCs w:val="28"/>
        </w:rPr>
        <w:t xml:space="preserve"> населённых пунктов района). 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>Мэром и его  заместителями, сотрудниками админи</w:t>
      </w:r>
      <w:r w:rsidR="007367AD">
        <w:rPr>
          <w:rFonts w:ascii="Times New Roman" w:hAnsi="Times New Roman" w:cs="Times New Roman"/>
          <w:sz w:val="28"/>
          <w:szCs w:val="28"/>
        </w:rPr>
        <w:t>страции района</w:t>
      </w:r>
      <w:r w:rsidRPr="00387A05">
        <w:rPr>
          <w:rFonts w:ascii="Times New Roman" w:hAnsi="Times New Roman" w:cs="Times New Roman"/>
          <w:sz w:val="28"/>
          <w:szCs w:val="28"/>
        </w:rPr>
        <w:t xml:space="preserve">  принято на выездных приёмах в муниципальных образованиях района  </w:t>
      </w:r>
      <w:r w:rsidR="007367AD">
        <w:rPr>
          <w:rFonts w:ascii="Times New Roman" w:hAnsi="Times New Roman" w:cs="Times New Roman"/>
          <w:b/>
          <w:sz w:val="28"/>
          <w:szCs w:val="28"/>
        </w:rPr>
        <w:t>578</w:t>
      </w:r>
      <w:r w:rsidRPr="00387A05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7367AD">
        <w:rPr>
          <w:rFonts w:ascii="Times New Roman" w:hAnsi="Times New Roman" w:cs="Times New Roman"/>
          <w:i/>
          <w:sz w:val="28"/>
          <w:szCs w:val="28"/>
        </w:rPr>
        <w:t>(в 2017</w:t>
      </w:r>
      <w:r w:rsidR="00740AA3">
        <w:rPr>
          <w:rFonts w:ascii="Times New Roman" w:hAnsi="Times New Roman" w:cs="Times New Roman"/>
          <w:i/>
          <w:sz w:val="28"/>
          <w:szCs w:val="28"/>
        </w:rPr>
        <w:t>г. – 307</w:t>
      </w:r>
      <w:r w:rsidRPr="00387A05">
        <w:rPr>
          <w:rFonts w:ascii="Times New Roman" w:hAnsi="Times New Roman" w:cs="Times New Roman"/>
          <w:i/>
          <w:sz w:val="28"/>
          <w:szCs w:val="28"/>
        </w:rPr>
        <w:t xml:space="preserve"> чел.).  </w:t>
      </w:r>
    </w:p>
    <w:p w:rsidR="00387A05" w:rsidRDefault="00387A05" w:rsidP="00387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На выездных приёмах населения по личным вопросам проводятся консультации, разъяснительная работа и практическая помощь сотрудниками администрации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района. Даются квалифицированные разъяснения и практическая помощь должностными лицами.</w:t>
      </w:r>
    </w:p>
    <w:p w:rsidR="007367AD" w:rsidRDefault="00474524" w:rsidP="00474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населения на</w:t>
      </w:r>
      <w:r w:rsidRPr="000D3EEA">
        <w:rPr>
          <w:rFonts w:ascii="Times New Roman" w:hAnsi="Times New Roman" w:cs="Times New Roman"/>
          <w:sz w:val="28"/>
          <w:szCs w:val="28"/>
        </w:rPr>
        <w:t xml:space="preserve"> выездных приёмах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AD" w:rsidRPr="000D3EEA">
        <w:rPr>
          <w:rFonts w:ascii="Times New Roman" w:hAnsi="Times New Roman" w:cs="Times New Roman"/>
          <w:sz w:val="28"/>
          <w:szCs w:val="28"/>
        </w:rPr>
        <w:t xml:space="preserve"> ускоряют сроки рассмотрения обращений и уменьшают обращения в вышестоящие инстанции, позволяют оценивать ситуации в решении текущих вопросов, повышают уровень доверия населения к органам власти, повышают эффективность деятельности администрации района.</w:t>
      </w:r>
    </w:p>
    <w:p w:rsidR="00474524" w:rsidRDefault="00474524" w:rsidP="0038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05" w:rsidRPr="00387A05" w:rsidRDefault="00387A05" w:rsidP="0038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A05">
        <w:rPr>
          <w:rFonts w:ascii="Times New Roman" w:hAnsi="Times New Roman" w:cs="Times New Roman"/>
          <w:sz w:val="28"/>
          <w:szCs w:val="28"/>
        </w:rPr>
        <w:t xml:space="preserve">Обращения, поступившие на имя мэра за  год из муниципальных образований  </w:t>
      </w:r>
      <w:proofErr w:type="spellStart"/>
      <w:r w:rsidRPr="00387A0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387A05">
        <w:rPr>
          <w:rFonts w:ascii="Times New Roman" w:hAnsi="Times New Roman" w:cs="Times New Roman"/>
          <w:sz w:val="28"/>
          <w:szCs w:val="28"/>
        </w:rPr>
        <w:t xml:space="preserve"> района  для рассмотрения.</w:t>
      </w:r>
    </w:p>
    <w:p w:rsidR="00387A05" w:rsidRPr="00387A05" w:rsidRDefault="00387A05" w:rsidP="0038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A05" w:rsidRPr="00387A05" w:rsidRDefault="00474524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2018</w:t>
      </w:r>
      <w:r w:rsidR="00387A05" w:rsidRPr="00387A05"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поступило 220 письменных и 304</w:t>
      </w:r>
      <w:r w:rsidR="00387A05" w:rsidRPr="00387A05">
        <w:rPr>
          <w:rFonts w:ascii="Times New Roman" w:hAnsi="Times New Roman" w:cs="Times New Roman"/>
          <w:sz w:val="28"/>
          <w:szCs w:val="28"/>
        </w:rPr>
        <w:t xml:space="preserve"> устных обращений граждан в том числе:</w:t>
      </w:r>
    </w:p>
    <w:p w:rsidR="00387A05" w:rsidRPr="00387A05" w:rsidRDefault="00387A05" w:rsidP="0038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62"/>
        <w:gridCol w:w="2728"/>
        <w:gridCol w:w="3190"/>
      </w:tblGrid>
      <w:tr w:rsidR="00387A05" w:rsidRPr="00387A05" w:rsidTr="00B919AC">
        <w:trPr>
          <w:trHeight w:val="24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387A05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387A05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обращения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387A05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b/>
                <w:sz w:val="24"/>
                <w:szCs w:val="24"/>
              </w:rPr>
              <w:t>устные</w:t>
            </w:r>
          </w:p>
        </w:tc>
      </w:tr>
      <w:tr w:rsidR="00387A05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387A05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B919A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87A05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387A05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B919A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7A05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387A05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Юртинское</w:t>
            </w:r>
            <w:proofErr w:type="spellEnd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B919A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A05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387A05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Староакульшетское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B919A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5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7E26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CA69C8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Венгерское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CA69C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E26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CA69C8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Новобирюсинское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CA69C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E26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Берёзовское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E26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Соляновское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E26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CA69C8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Половино-Черемховское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CA69C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E26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CA69C8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Тамтачетское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CA69C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E26" w:rsidRPr="00387A05" w:rsidTr="00B91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Населенные пункты др. регионов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E26" w:rsidRPr="00387A05" w:rsidTr="00B919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По остальным населённым пунктам района от 1  до 3 обращений.</w:t>
            </w:r>
          </w:p>
        </w:tc>
      </w:tr>
      <w:tr w:rsidR="005D7E26" w:rsidRPr="00387A05" w:rsidTr="00B919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26" w:rsidRPr="00387A05" w:rsidTr="00B919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D7E26" w:rsidRPr="00387A05" w:rsidTr="00B919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- дано разъяснение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D7E26" w:rsidRPr="00387A05" w:rsidTr="00B919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5D7E26" w:rsidP="00387A05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-отклонено или оставлено без рассмотрения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26" w:rsidRPr="006E01EC" w:rsidRDefault="006E01EC" w:rsidP="00387A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87A05" w:rsidRPr="00387A05" w:rsidRDefault="00387A05" w:rsidP="0038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05" w:rsidRPr="00387A05" w:rsidRDefault="00953912" w:rsidP="0038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-635</wp:posOffset>
            </wp:positionV>
            <wp:extent cx="7378700" cy="390525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53912" w:rsidRDefault="00953912" w:rsidP="006E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12" w:rsidRDefault="00953912" w:rsidP="006E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12" w:rsidRPr="00953912" w:rsidRDefault="00474524" w:rsidP="006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2">
        <w:rPr>
          <w:rFonts w:ascii="Times New Roman" w:hAnsi="Times New Roman" w:cs="Times New Roman"/>
          <w:sz w:val="24"/>
          <w:szCs w:val="24"/>
        </w:rPr>
        <w:t xml:space="preserve">Информацию подготовил: </w:t>
      </w:r>
    </w:p>
    <w:p w:rsidR="00953912" w:rsidRPr="00953912" w:rsidRDefault="00474524" w:rsidP="006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2">
        <w:rPr>
          <w:rFonts w:ascii="Times New Roman" w:hAnsi="Times New Roman" w:cs="Times New Roman"/>
          <w:sz w:val="24"/>
          <w:szCs w:val="24"/>
        </w:rPr>
        <w:t>главный</w:t>
      </w:r>
      <w:r w:rsidR="00387A05" w:rsidRPr="00953912">
        <w:rPr>
          <w:rFonts w:ascii="Times New Roman" w:hAnsi="Times New Roman" w:cs="Times New Roman"/>
          <w:sz w:val="24"/>
          <w:szCs w:val="24"/>
        </w:rPr>
        <w:t xml:space="preserve"> специалист по работе </w:t>
      </w:r>
    </w:p>
    <w:p w:rsidR="00953912" w:rsidRPr="00953912" w:rsidRDefault="00387A05" w:rsidP="006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2">
        <w:rPr>
          <w:rFonts w:ascii="Times New Roman" w:hAnsi="Times New Roman" w:cs="Times New Roman"/>
          <w:sz w:val="24"/>
          <w:szCs w:val="24"/>
        </w:rPr>
        <w:t xml:space="preserve">с обращениями граждан </w:t>
      </w:r>
    </w:p>
    <w:p w:rsidR="00953912" w:rsidRPr="00953912" w:rsidRDefault="008E62FD" w:rsidP="006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2">
        <w:rPr>
          <w:rFonts w:ascii="Times New Roman" w:hAnsi="Times New Roman" w:cs="Times New Roman"/>
          <w:sz w:val="24"/>
          <w:szCs w:val="24"/>
        </w:rPr>
        <w:t xml:space="preserve">организационно-контрольного </w:t>
      </w:r>
    </w:p>
    <w:p w:rsidR="002D7997" w:rsidRPr="00953912" w:rsidRDefault="008E62FD" w:rsidP="006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912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387A05" w:rsidRPr="00953912">
        <w:rPr>
          <w:rFonts w:ascii="Times New Roman" w:hAnsi="Times New Roman" w:cs="Times New Roman"/>
          <w:sz w:val="24"/>
          <w:szCs w:val="24"/>
        </w:rPr>
        <w:t>Щербенева</w:t>
      </w:r>
      <w:proofErr w:type="spellEnd"/>
      <w:r w:rsidR="00387A05" w:rsidRPr="00953912">
        <w:rPr>
          <w:rFonts w:ascii="Times New Roman" w:hAnsi="Times New Roman" w:cs="Times New Roman"/>
          <w:sz w:val="24"/>
          <w:szCs w:val="24"/>
        </w:rPr>
        <w:t xml:space="preserve"> Е.П.</w:t>
      </w:r>
    </w:p>
    <w:sectPr w:rsidR="002D7997" w:rsidRPr="00953912" w:rsidSect="00387A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87A05"/>
    <w:rsid w:val="000652CD"/>
    <w:rsid w:val="00073978"/>
    <w:rsid w:val="0018103C"/>
    <w:rsid w:val="001924DA"/>
    <w:rsid w:val="0021358B"/>
    <w:rsid w:val="002466BE"/>
    <w:rsid w:val="002934DF"/>
    <w:rsid w:val="002A2394"/>
    <w:rsid w:val="002C4C09"/>
    <w:rsid w:val="002D4E5E"/>
    <w:rsid w:val="002D7997"/>
    <w:rsid w:val="00335F2B"/>
    <w:rsid w:val="003437BC"/>
    <w:rsid w:val="00387A05"/>
    <w:rsid w:val="00474524"/>
    <w:rsid w:val="005020AF"/>
    <w:rsid w:val="00502B89"/>
    <w:rsid w:val="005C71C8"/>
    <w:rsid w:val="005D7E26"/>
    <w:rsid w:val="00671013"/>
    <w:rsid w:val="00677EE5"/>
    <w:rsid w:val="006E01EC"/>
    <w:rsid w:val="006F3997"/>
    <w:rsid w:val="00713DFB"/>
    <w:rsid w:val="00717CCD"/>
    <w:rsid w:val="007367AD"/>
    <w:rsid w:val="00740AA3"/>
    <w:rsid w:val="007A23E6"/>
    <w:rsid w:val="008E62FD"/>
    <w:rsid w:val="0093626E"/>
    <w:rsid w:val="00953912"/>
    <w:rsid w:val="00975F85"/>
    <w:rsid w:val="009E67B7"/>
    <w:rsid w:val="00A041B0"/>
    <w:rsid w:val="00A77BC0"/>
    <w:rsid w:val="00A85507"/>
    <w:rsid w:val="00A901BE"/>
    <w:rsid w:val="00B07ACA"/>
    <w:rsid w:val="00B45A0A"/>
    <w:rsid w:val="00B729A0"/>
    <w:rsid w:val="00B919AC"/>
    <w:rsid w:val="00BC4DC7"/>
    <w:rsid w:val="00C134FD"/>
    <w:rsid w:val="00C21FA2"/>
    <w:rsid w:val="00C22FE5"/>
    <w:rsid w:val="00CD2AA6"/>
    <w:rsid w:val="00E66532"/>
    <w:rsid w:val="00E877A8"/>
    <w:rsid w:val="00F3016D"/>
    <w:rsid w:val="00F76616"/>
    <w:rsid w:val="00F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38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87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219780219780248E-2"/>
          <c:y val="0.10754536117767886"/>
          <c:w val="0.96978021978021978"/>
          <c:h val="0.715129807143676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220</c:v>
                </c:pt>
                <c:pt idx="1">
                  <c:v>304</c:v>
                </c:pt>
                <c:pt idx="2">
                  <c:v>578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237</c:v>
                </c:pt>
                <c:pt idx="1">
                  <c:v>153</c:v>
                </c:pt>
                <c:pt idx="2">
                  <c:v>307</c:v>
                </c:pt>
              </c:numCache>
            </c:numRef>
          </c:val>
        </c:ser>
        <c:ser>
          <c:idx val="2"/>
          <c:order val="2"/>
          <c:tx>
            <c:strRef>
              <c:f>Лист1!$H$37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34396928"/>
        <c:axId val="134628096"/>
      </c:barChart>
      <c:catAx>
        <c:axId val="134396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628096"/>
        <c:crosses val="autoZero"/>
        <c:auto val="1"/>
        <c:lblAlgn val="ctr"/>
        <c:lblOffset val="100"/>
      </c:catAx>
      <c:valAx>
        <c:axId val="1346280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4396928"/>
        <c:crosses val="autoZero"/>
        <c:crossBetween val="between"/>
      </c:valAx>
      <c:spPr>
        <a:ln cmpd="sng"/>
      </c:spPr>
    </c:plotArea>
    <c:legend>
      <c:legendPos val="t"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обращений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жилищно-коммунальная сфера</c:v>
                </c:pt>
                <c:pt idx="1">
                  <c:v>социально-правовая</c:v>
                </c:pt>
                <c:pt idx="2">
                  <c:v>строительство и архетектура, земельные</c:v>
                </c:pt>
                <c:pt idx="3">
                  <c:v>транспорт и связь</c:v>
                </c:pt>
                <c:pt idx="4">
                  <c:v>здравоохранение</c:v>
                </c:pt>
                <c:pt idx="5">
                  <c:v>другие вопросы</c:v>
                </c:pt>
                <c:pt idx="6">
                  <c:v>выделение мест в д/с.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139</c:v>
                </c:pt>
                <c:pt idx="1">
                  <c:v>259</c:v>
                </c:pt>
                <c:pt idx="2">
                  <c:v>69</c:v>
                </c:pt>
                <c:pt idx="3">
                  <c:v>25</c:v>
                </c:pt>
                <c:pt idx="4">
                  <c:v>11</c:v>
                </c:pt>
                <c:pt idx="5">
                  <c:v>21</c:v>
                </c:pt>
                <c:pt idx="6">
                  <c:v>158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097331583552062"/>
          <c:y val="0.20234126984127049"/>
          <c:w val="0.36513779527559082"/>
          <c:h val="0.7817260342457196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91338582677212"/>
          <c:y val="3.7735849056603855E-2"/>
          <c:w val="0.53844377576028157"/>
          <c:h val="0.5283018867924524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Писменные обращения</c:v>
                </c:pt>
              </c:strCache>
            </c:strRef>
          </c:tx>
          <c:spPr>
            <a:ln w="30314">
              <a:solidFill>
                <a:srgbClr val="00008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Тайшетское </c:v>
                </c:pt>
                <c:pt idx="1">
                  <c:v>Бирюсинское</c:v>
                </c:pt>
                <c:pt idx="2">
                  <c:v>Юртинское </c:v>
                </c:pt>
                <c:pt idx="3">
                  <c:v>Ст. Акульшетское</c:v>
                </c:pt>
                <c:pt idx="4">
                  <c:v>Венгерское</c:v>
                </c:pt>
                <c:pt idx="5">
                  <c:v>Новобирюсинское</c:v>
                </c:pt>
                <c:pt idx="6">
                  <c:v>Берёзовское</c:v>
                </c:pt>
                <c:pt idx="7">
                  <c:v>с.Соляная</c:v>
                </c:pt>
                <c:pt idx="8">
                  <c:v>нас. Пункты др. регионов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95</c:v>
                </c:pt>
                <c:pt idx="1">
                  <c:v>30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устные обращения</c:v>
                </c:pt>
              </c:strCache>
            </c:strRef>
          </c:tx>
          <c:spPr>
            <a:ln w="30314">
              <a:solidFill>
                <a:srgbClr val="FF00FF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Тайшетское </c:v>
                </c:pt>
                <c:pt idx="1">
                  <c:v>Бирюсинское</c:v>
                </c:pt>
                <c:pt idx="2">
                  <c:v>Юртинское </c:v>
                </c:pt>
                <c:pt idx="3">
                  <c:v>Ст. Акульшетское</c:v>
                </c:pt>
                <c:pt idx="4">
                  <c:v>Венгерское</c:v>
                </c:pt>
                <c:pt idx="5">
                  <c:v>Новобирюсинское</c:v>
                </c:pt>
                <c:pt idx="6">
                  <c:v>Берёзовское</c:v>
                </c:pt>
                <c:pt idx="7">
                  <c:v>с.Соляная</c:v>
                </c:pt>
                <c:pt idx="8">
                  <c:v>нас. Пункты др. регионов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212</c:v>
                </c:pt>
                <c:pt idx="1">
                  <c:v>18</c:v>
                </c:pt>
                <c:pt idx="2">
                  <c:v>14</c:v>
                </c:pt>
                <c:pt idx="3">
                  <c:v>9</c:v>
                </c:pt>
                <c:pt idx="4">
                  <c:v>1</c:v>
                </c:pt>
                <c:pt idx="5">
                  <c:v>1</c:v>
                </c:pt>
                <c:pt idx="6">
                  <c:v>7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</c:ser>
        <c:dropLines>
          <c:spPr>
            <a:ln w="10105">
              <a:solidFill>
                <a:srgbClr val="000000"/>
              </a:solidFill>
              <a:prstDash val="solid"/>
            </a:ln>
          </c:spPr>
        </c:dropLines>
        <c:marker val="1"/>
        <c:axId val="135384064"/>
        <c:axId val="135389952"/>
      </c:lineChart>
      <c:catAx>
        <c:axId val="135384064"/>
        <c:scaling>
          <c:orientation val="minMax"/>
        </c:scaling>
        <c:axPos val="b"/>
        <c:numFmt formatCode="General" sourceLinked="1"/>
        <c:tickLblPos val="nextTo"/>
        <c:spPr>
          <a:ln w="252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389952"/>
        <c:crosses val="autoZero"/>
        <c:auto val="1"/>
        <c:lblAlgn val="ctr"/>
        <c:lblOffset val="100"/>
        <c:tickLblSkip val="1"/>
        <c:tickMarkSkip val="1"/>
      </c:catAx>
      <c:valAx>
        <c:axId val="135389952"/>
        <c:scaling>
          <c:orientation val="minMax"/>
        </c:scaling>
        <c:axPos val="l"/>
        <c:majorGridlines>
          <c:spPr>
            <a:ln w="25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384064"/>
        <c:crosses val="autoZero"/>
        <c:crossBetween val="midCat"/>
      </c:valAx>
      <c:spPr>
        <a:solidFill>
          <a:srgbClr val="C0C0C0"/>
        </a:solidFill>
        <a:ln w="252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439792339011669"/>
          <c:y val="0.23450134770889491"/>
          <c:w val="0.22314093268461918"/>
          <c:h val="0.13207547169811318"/>
        </c:manualLayout>
      </c:layout>
      <c:spPr>
        <a:noFill/>
        <a:ln w="2526">
          <a:solidFill>
            <a:srgbClr val="000000"/>
          </a:solidFill>
          <a:prstDash val="solid"/>
        </a:ln>
      </c:spPr>
      <c:txPr>
        <a:bodyPr/>
        <a:lstStyle/>
        <a:p>
          <a:pPr>
            <a:defRPr sz="85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30A2-65EA-4DE2-BFA7-CB21A005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Щербенева</cp:lastModifiedBy>
  <cp:revision>17</cp:revision>
  <cp:lastPrinted>2019-01-15T03:42:00Z</cp:lastPrinted>
  <dcterms:created xsi:type="dcterms:W3CDTF">2018-12-29T00:29:00Z</dcterms:created>
  <dcterms:modified xsi:type="dcterms:W3CDTF">2019-01-21T05:35:00Z</dcterms:modified>
</cp:coreProperties>
</file>